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50601.xml.htm"/>
      <w:bookmarkStart w:id="1" w:name="ksform406032026_05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Mahoney Robert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CHERRY HILL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AXCELIS TECHNOLOGIES INC</w:t>
              </w:r>
            </w:hyperlink>
            <w:r>
              <w:rPr/>
              <w:t xml:space="preserve"> [ </w:t>
            </w:r>
            <w:r>
              <w:rPr>
                <w:rFonts w:ascii="Times;serif" w:hAnsi="Times;serif"/>
                <w:color w:val="0000FF"/>
                <w:sz w:val="24"/>
                <w:shd w:fill="FFFFFF" w:val="clear"/>
              </w:rPr>
              <w:t>ACLS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Global Operations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155.24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14,410</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Of the shares held after this sale on June 2, 2026, 12,578 shares were issuable on vesting of restricted stock units granted to the reporting person under the 2012 Equity Incentive Plan and are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Eileen J. Evans,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1601" TargetMode="External"/><Relationship Id="rId5" Type="http://schemas.openxmlformats.org/officeDocument/2006/relationships/hyperlink" Target="http://www.sec.gov/cgi-bin/browse-edgar?action=getcompany&amp;CIK=00011132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3241</Characters>
  <CharactersWithSpaces>3782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