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315d1_8k.htm"/>
      <w:bookmarkStart w:id="1" w:name="kstm2622315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Axcelis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806"/>
            <w:bookmarkEnd w:id="6"/>
            <w:r>
              <w:rPr>
                <w:rFonts w:ascii="Times New Roman;Times;Serif" w:hAnsi="Times New Roman;Times;Serif"/>
                <w:b/>
                <w:i w:val="false"/>
                <w:caps w:val="false"/>
                <w:smallCaps w:val="false"/>
                <w:sz w:val="20"/>
              </w:rPr>
              <w:t>000-30941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34-1818596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965"/>
        <w:gridCol w:w="60"/>
        <w:gridCol w:w="920"/>
      </w:tblGrid>
      <w:tr>
        <w:trPr/>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108 Cherry Hill Drive, </w:t>
            </w:r>
            <w:bookmarkStart w:id="9" w:name="xdx_900_edei--EntityAddressCityOrTown_c2"/>
            <w:bookmarkEnd w:id="9"/>
            <w:r>
              <w:rPr>
                <w:rFonts w:ascii="Times New Roman;Times;Serif" w:hAnsi="Times New Roman;Times;Serif"/>
                <w:b/>
                <w:i w:val="false"/>
                <w:caps w:val="false"/>
                <w:smallCaps w:val="false"/>
                <w:sz w:val="20"/>
              </w:rPr>
              <w:t xml:space="preserve">Beverly, </w:t>
            </w:r>
            <w:bookmarkStart w:id="10" w:name="xdx_90F_edei--EntityAddressStateOrProvin"/>
            <w:bookmarkEnd w:id="10"/>
            <w:r>
              <w:rPr>
                <w:rFonts w:ascii="Times New Roman;Times;Serif" w:hAnsi="Times New Roman;Times;Serif"/>
                <w:b/>
                <w:i w:val="false"/>
                <w:caps w:val="false"/>
                <w:smallCaps w:val="false"/>
                <w:sz w:val="20"/>
              </w:rPr>
              <w:t>Massachusetts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01915</w:t>
            </w:r>
          </w:p>
        </w:tc>
      </w:tr>
      <w:tr>
        <w:trPr/>
        <w:tc>
          <w:tcPr>
            <w:tcW w:w="39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C_edei--CityAreaCode_c20260806__20"/>
      <w:bookmarkEnd w:id="12"/>
      <w:r>
        <w:rPr>
          <w:rFonts w:ascii="Times New Roman;Times;Serif" w:hAnsi="Times New Roman;Times;Serif"/>
          <w:b/>
          <w:i w:val="false"/>
          <w:caps w:val="false"/>
          <w:smallCaps w:val="false"/>
          <w:sz w:val="20"/>
        </w:rPr>
        <w:t xml:space="preserve">978) </w:t>
      </w:r>
      <w:bookmarkStart w:id="13" w:name="xdx_900_edei--LocalPhoneNumber_c20260806"/>
      <w:bookmarkEnd w:id="13"/>
      <w:r>
        <w:rPr>
          <w:rFonts w:ascii="Times New Roman;Times;Serif" w:hAnsi="Times New Roman;Times;Serif"/>
          <w:b/>
          <w:i w:val="false"/>
          <w:caps w:val="false"/>
          <w:smallCaps w:val="false"/>
          <w:sz w:val="20"/>
        </w:rPr>
        <w:t>787-4000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aps w:val="false"/>
                <w:smallCaps w:val="false"/>
              </w:rPr>
            </w:pPr>
            <w:bookmarkStart w:id="15" w:name="xdx_903_edei--SolicitingMaterial_c202608"/>
            <w:bookmarkEnd w:id="15"/>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16" w:name="xdx_901_edei--PreCommencementTenderOffer"/>
            <w:bookmarkEnd w:id="1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6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60" w:right="0" w:hanging="360"/>
        <w:jc w:val="left"/>
        <w:rPr>
          <w:caps w:val="false"/>
          <w:smallCaps w:val="false"/>
        </w:rPr>
      </w:pPr>
      <w:r>
        <w:rPr>
          <w:caps w:val="false"/>
          <w:smallCaps w:val="false"/>
        </w:rPr>
        <w:t> </w:t>
      </w:r>
    </w:p>
    <w:tbl>
      <w:tblPr>
        <w:tblW w:w="8640" w:type="dxa"/>
        <w:jc w:val="left"/>
        <w:tblInd w:w="-10" w:type="dxa"/>
        <w:tblLayout w:type="fixed"/>
        <w:tblCellMar>
          <w:top w:w="28" w:type="dxa"/>
          <w:left w:w="28" w:type="dxa"/>
          <w:bottom w:w="0" w:type="dxa"/>
          <w:right w:w="0" w:type="dxa"/>
        </w:tblCellMar>
      </w:tblPr>
      <w:tblGrid>
        <w:gridCol w:w="3515"/>
        <w:gridCol w:w="1535"/>
        <w:gridCol w:w="3590"/>
      </w:tblGrid>
      <w:tr>
        <w:trPr/>
        <w:tc>
          <w:tcPr>
            <w:tcW w:w="351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806"/>
            <w:bookmarkEnd w:id="19"/>
            <w:r>
              <w:rPr>
                <w:rFonts w:ascii="Times New Roman;Times;Serif" w:hAnsi="Times New Roman;Times;Serif"/>
                <w:b w:val="false"/>
                <w:i w:val="false"/>
                <w:caps w:val="false"/>
                <w:smallCaps w:val="false"/>
                <w:sz w:val="20"/>
              </w:rPr>
              <w:t>Common Stock, par value $0.001 per share</w:t>
            </w:r>
          </w:p>
        </w:tc>
        <w:tc>
          <w:tcPr>
            <w:tcW w:w="153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60806__2"/>
            <w:bookmarkEnd w:id="20"/>
            <w:r>
              <w:rPr>
                <w:rFonts w:ascii="Times New Roman;Times;Serif" w:hAnsi="Times New Roman;Times;Serif"/>
                <w:b w:val="false"/>
                <w:i w:val="false"/>
                <w:caps w:val="false"/>
                <w:smallCaps w:val="false"/>
                <w:sz w:val="20"/>
              </w:rPr>
              <w:t>ACLS</w:t>
            </w:r>
          </w:p>
        </w:tc>
        <w:tc>
          <w:tcPr>
            <w:tcW w:w="3590"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Axcelis Technologies, Inc. (the “Company”) issued a press release regarding its financial results for its quarter ended June 30, 2026. The Company’s press release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28" w:type="dxa"/>
          <w:right w:w="0" w:type="dxa"/>
        </w:tblCellMar>
      </w:tblPr>
      <w:tblGrid>
        <w:gridCol w:w="995"/>
        <w:gridCol w:w="60"/>
        <w:gridCol w:w="762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76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231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2315d1_ex99-1.htm">
              <w:r>
                <w:rPr>
                  <w:rStyle w:val="InternetLink"/>
                  <w:rFonts w:ascii="Times New Roman;Times;Serif" w:hAnsi="Times New Roman;Times;Serif"/>
                  <w:sz w:val="20"/>
                </w:rPr>
                <w:t>Press Release dated August 6, 2026. Filed herewith</w:t>
              </w:r>
            </w:hyperlink>
          </w:p>
        </w:tc>
      </w:tr>
      <w:tr>
        <w:trPr/>
        <w:tc>
          <w:tcPr>
            <w:tcW w:w="99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1760"/>
        <w:gridCol w:w="320"/>
        <w:gridCol w:w="4700"/>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50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Axcelis Technologies, Inc.</w:t>
            </w:r>
          </w:p>
        </w:tc>
      </w:tr>
      <w:tr>
        <w:trPr/>
        <w:tc>
          <w:tcPr>
            <w:tcW w:w="1760" w:type="dxa"/>
            <w:tcBorders/>
            <w:vAlign w:val="center"/>
          </w:tcPr>
          <w:p>
            <w:pPr>
              <w:pStyle w:val="TableContents"/>
              <w:bidi w:val="0"/>
              <w:spacing w:before="0" w:after="283"/>
              <w:jc w:val="left"/>
              <w:rPr/>
            </w:pPr>
            <w:r>
              <w:rPr/>
              <w:t> </w:t>
            </w:r>
          </w:p>
        </w:tc>
        <w:tc>
          <w:tcPr>
            <w:tcW w:w="502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Ryzhik</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Ryzhik</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Senior Vice President and Interim Chief Financial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315d1_ex99-1.htm"/>
      <w:bookmarkStart w:id="23" w:name="kstm2622315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Announces Financial Results for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Highlights:</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r>
              <w:rPr>
                <w:rFonts w:ascii="Symbol" w:hAnsi="Symbol"/>
                <w:sz w:val="20"/>
              </w:rPr>
              <w:t>·</w:t>
            </w:r>
          </w:p>
        </w:tc>
        <w:tc>
          <w:tcPr>
            <w:tcW w:w="8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of $215.2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r>
              <w:rPr>
                <w:rFonts w:ascii="Symbol" w:hAnsi="Symbol"/>
                <w:sz w:val="20"/>
              </w:rPr>
              <w:t>·</w:t>
            </w:r>
          </w:p>
        </w:tc>
        <w:tc>
          <w:tcPr>
            <w:tcW w:w="8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Gross Margin of 42.4%, and Non-GAAP Gross Margin of 42.7%</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r>
              <w:rPr>
                <w:rFonts w:ascii="Symbol" w:hAnsi="Symbol"/>
                <w:sz w:val="20"/>
              </w:rPr>
              <w:t>·</w:t>
            </w:r>
          </w:p>
        </w:tc>
        <w:tc>
          <w:tcPr>
            <w:tcW w:w="8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Operating Margin of 9.4% and Non-GAAP Operating Margin of 14.7%</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r>
              <w:rPr>
                <w:rFonts w:ascii="Symbol" w:hAnsi="Symbol"/>
                <w:sz w:val="20"/>
              </w:rPr>
              <w:t>·</w:t>
            </w:r>
          </w:p>
        </w:tc>
        <w:tc>
          <w:tcPr>
            <w:tcW w:w="8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Diluted Earnings Per Share of $0.75, and Non-GAAP Diluted Earnings Per Share of $1.06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BEVERLY, Mass., Aug. 6, 2026—</w:t>
      </w:r>
      <w:r>
        <w:rPr>
          <w:rFonts w:ascii="Times New Roman;Times;Serif" w:hAnsi="Times New Roman;Times;Serif"/>
          <w:b w:val="false"/>
          <w:i w:val="false"/>
          <w:caps w:val="false"/>
          <w:smallCaps w:val="false"/>
          <w:sz w:val="20"/>
          <w:u w:val="single"/>
        </w:rPr>
        <w:t>Axcelis Technologies</w:t>
      </w:r>
      <w:r>
        <w:rPr>
          <w:rFonts w:ascii="Times New Roman;Times;Serif" w:hAnsi="Times New Roman;Times;Serif"/>
          <w:b w:val="false"/>
          <w:i w:val="false"/>
          <w:caps w:val="false"/>
          <w:smallCaps w:val="false"/>
          <w:sz w:val="20"/>
        </w:rPr>
        <w:t>, Inc. (Nasdaq: ACLS) today announced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CEO Russell Low commented, “We executed well in the second quarter, delivering results that exceeded our forecasts driven by stronger system shipments and higher CS&amp;I volume.” Low continued, “Demand in the Memory market remains robust, and we are also benefitting from positive momentum in our Power market. In General Mature, we are encouraged by improving engagement and utilization trends as customers respond to growing end-demand in data center, industrial and automotive segments. As a result, we now expect to deliver year-over-year revenue growth in 2026, with momentum carrying through to 2027. We are focused on satisfying the remaining conditions to complete our pending merger with Veeco and look forward to closing the transaction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Interim CFO David Ryzhik stated, “Axcelis delivered better than expected revenue and operating income in our second quarter, reflecting the attractive operating leverage in our business.” Ryzhik concluded, “With improving systems demand in our markets and continued strength in our CS&amp;I aftermarket business, we anticipate that Axcelis’ financial performance will continue to improve over the balance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Summary</w:t>
        <w:br/>
        <w:t>(In thousands, except per share amounts and percentages)</w:t>
      </w:r>
    </w:p>
    <w:p>
      <w:pPr>
        <w:pStyle w:val="TextBody"/>
        <w:bidi w:val="0"/>
        <w:spacing w:before="0" w:after="0"/>
        <w:ind w:left="0" w:right="0" w:hanging="0"/>
        <w:jc w:val="left"/>
        <w:rPr>
          <w:caps w:val="false"/>
          <w:smallCaps w:val="false"/>
        </w:rPr>
      </w:pPr>
      <w:r>
        <w:rPr>
          <w:caps w:val="false"/>
          <w:smallCaps w:val="false"/>
        </w:rPr>
        <w:t> </w:t>
      </w:r>
    </w:p>
    <w:tbl>
      <w:tblPr>
        <w:tblW w:w="4887" w:type="dxa"/>
        <w:jc w:val="center"/>
        <w:tblInd w:w="0" w:type="dxa"/>
        <w:tblLayout w:type="fixed"/>
        <w:tblCellMar>
          <w:top w:w="0" w:type="dxa"/>
          <w:left w:w="0" w:type="dxa"/>
          <w:bottom w:w="0" w:type="dxa"/>
          <w:right w:w="0" w:type="dxa"/>
        </w:tblCellMar>
      </w:tblPr>
      <w:tblGrid>
        <w:gridCol w:w="2150"/>
        <w:gridCol w:w="60"/>
        <w:gridCol w:w="164"/>
        <w:gridCol w:w="914"/>
        <w:gridCol w:w="243"/>
        <w:gridCol w:w="78"/>
        <w:gridCol w:w="164"/>
        <w:gridCol w:w="914"/>
        <w:gridCol w:w="200"/>
      </w:tblGrid>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200"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43"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center"/>
              <w:rPr/>
            </w:pPr>
            <w:r>
              <w:rPr/>
              <w:t> </w:t>
            </w:r>
          </w:p>
        </w:tc>
      </w:tr>
      <w:tr>
        <w:trPr/>
        <w:tc>
          <w:tcPr>
            <w:tcW w:w="215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20"/>
              </w:rPr>
            </w:pPr>
            <w:r>
              <w:rPr>
                <w:sz w:val="20"/>
              </w:rPr>
              <w:t>$</w:t>
            </w:r>
          </w:p>
        </w:tc>
        <w:tc>
          <w:tcPr>
            <w:tcW w:w="914" w:type="dxa"/>
            <w:tcBorders/>
            <w:shd w:fill="CCEEFF" w:val="clear"/>
            <w:vAlign w:val="center"/>
          </w:tcPr>
          <w:p>
            <w:pPr>
              <w:pStyle w:val="TableContents"/>
              <w:bidi w:val="0"/>
              <w:spacing w:before="0" w:after="283"/>
              <w:jc w:val="right"/>
              <w:rPr>
                <w:sz w:val="20"/>
              </w:rPr>
            </w:pPr>
            <w:r>
              <w:rPr>
                <w:sz w:val="20"/>
              </w:rPr>
              <w:t>215,175</w:t>
            </w:r>
          </w:p>
        </w:tc>
        <w:tc>
          <w:tcPr>
            <w:tcW w:w="24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20"/>
              </w:rPr>
            </w:pPr>
            <w:r>
              <w:rPr>
                <w:sz w:val="20"/>
              </w:rPr>
              <w:t>$</w:t>
            </w:r>
          </w:p>
        </w:tc>
        <w:tc>
          <w:tcPr>
            <w:tcW w:w="914" w:type="dxa"/>
            <w:tcBorders/>
            <w:shd w:fill="CCEEFF" w:val="clear"/>
            <w:vAlign w:val="center"/>
          </w:tcPr>
          <w:p>
            <w:pPr>
              <w:pStyle w:val="TableContents"/>
              <w:bidi w:val="0"/>
              <w:spacing w:before="0" w:after="283"/>
              <w:jc w:val="right"/>
              <w:rPr>
                <w:sz w:val="20"/>
              </w:rPr>
            </w:pPr>
            <w:r>
              <w:rPr>
                <w:sz w:val="20"/>
              </w:rPr>
              <w:t>194,544</w:t>
            </w:r>
          </w:p>
        </w:tc>
        <w:tc>
          <w:tcPr>
            <w:tcW w:w="20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sz w:val="20"/>
              </w:rPr>
            </w:pPr>
            <w:r>
              <w:rPr>
                <w:sz w:val="20"/>
              </w:rPr>
              <w:t>Gross margin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sz w:val="20"/>
              </w:rPr>
            </w:pPr>
            <w:r>
              <w:rPr>
                <w:sz w:val="20"/>
              </w:rPr>
              <w:t>42.4</w:t>
            </w:r>
          </w:p>
        </w:tc>
        <w:tc>
          <w:tcPr>
            <w:tcW w:w="243"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sz w:val="20"/>
              </w:rPr>
            </w:pPr>
            <w:r>
              <w:rPr>
                <w:sz w:val="20"/>
              </w:rPr>
              <w:t>44.9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150" w:type="dxa"/>
            <w:tcBorders/>
            <w:shd w:fill="CCEEFF" w:val="clear"/>
            <w:vAlign w:val="center"/>
          </w:tcPr>
          <w:p>
            <w:pPr>
              <w:pStyle w:val="TableContents"/>
              <w:bidi w:val="0"/>
              <w:spacing w:before="0" w:after="283"/>
              <w:jc w:val="left"/>
              <w:rPr>
                <w:sz w:val="20"/>
              </w:rPr>
            </w:pPr>
            <w:r>
              <w:rPr>
                <w:sz w:val="20"/>
              </w:rPr>
              <w:t>Operating margin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sz w:val="20"/>
              </w:rPr>
            </w:pPr>
            <w:r>
              <w:rPr>
                <w:sz w:val="20"/>
              </w:rPr>
              <w:t>9.4</w:t>
            </w:r>
          </w:p>
        </w:tc>
        <w:tc>
          <w:tcPr>
            <w:tcW w:w="243"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sz w:val="20"/>
              </w:rPr>
            </w:pPr>
            <w:r>
              <w:rPr>
                <w:sz w:val="20"/>
              </w:rPr>
              <w:t>14.9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150"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sz w:val="20"/>
              </w:rPr>
            </w:pPr>
            <w:r>
              <w:rPr>
                <w:sz w:val="20"/>
              </w:rPr>
              <w:t>$</w:t>
            </w:r>
          </w:p>
        </w:tc>
        <w:tc>
          <w:tcPr>
            <w:tcW w:w="914" w:type="dxa"/>
            <w:tcBorders/>
            <w:shd w:fill="FFFFFF" w:val="clear"/>
            <w:vAlign w:val="center"/>
          </w:tcPr>
          <w:p>
            <w:pPr>
              <w:pStyle w:val="TableContents"/>
              <w:bidi w:val="0"/>
              <w:spacing w:before="0" w:after="283"/>
              <w:jc w:val="right"/>
              <w:rPr>
                <w:sz w:val="20"/>
              </w:rPr>
            </w:pPr>
            <w:r>
              <w:rPr>
                <w:sz w:val="20"/>
              </w:rPr>
              <w:t>23,291</w:t>
            </w:r>
          </w:p>
        </w:tc>
        <w:tc>
          <w:tcPr>
            <w:tcW w:w="24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sz w:val="20"/>
              </w:rPr>
            </w:pPr>
            <w:r>
              <w:rPr>
                <w:sz w:val="20"/>
              </w:rPr>
              <w:t>$</w:t>
            </w:r>
          </w:p>
        </w:tc>
        <w:tc>
          <w:tcPr>
            <w:tcW w:w="914" w:type="dxa"/>
            <w:tcBorders/>
            <w:shd w:fill="FFFFFF" w:val="clear"/>
            <w:vAlign w:val="center"/>
          </w:tcPr>
          <w:p>
            <w:pPr>
              <w:pStyle w:val="TableContents"/>
              <w:bidi w:val="0"/>
              <w:spacing w:before="0" w:after="283"/>
              <w:jc w:val="right"/>
              <w:rPr>
                <w:sz w:val="20"/>
              </w:rPr>
            </w:pPr>
            <w:r>
              <w:rPr>
                <w:sz w:val="20"/>
              </w:rPr>
              <w:t>31,376</w:t>
            </w:r>
          </w:p>
        </w:tc>
        <w:tc>
          <w:tcPr>
            <w:tcW w:w="20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sz w:val="20"/>
              </w:rPr>
            </w:pPr>
            <w:r>
              <w:rPr>
                <w:sz w:val="20"/>
              </w:rPr>
              <w:t>Diluted earnings per share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20"/>
              </w:rPr>
            </w:pPr>
            <w:r>
              <w:rPr>
                <w:sz w:val="20"/>
              </w:rPr>
              <w:t>$</w:t>
            </w:r>
          </w:p>
        </w:tc>
        <w:tc>
          <w:tcPr>
            <w:tcW w:w="914" w:type="dxa"/>
            <w:tcBorders/>
            <w:shd w:fill="CCEEFF" w:val="clear"/>
            <w:vAlign w:val="center"/>
          </w:tcPr>
          <w:p>
            <w:pPr>
              <w:pStyle w:val="TableContents"/>
              <w:bidi w:val="0"/>
              <w:spacing w:before="0" w:after="283"/>
              <w:jc w:val="right"/>
              <w:rPr>
                <w:sz w:val="20"/>
              </w:rPr>
            </w:pPr>
            <w:r>
              <w:rPr>
                <w:sz w:val="20"/>
              </w:rPr>
              <w:t>0.75</w:t>
            </w:r>
          </w:p>
        </w:tc>
        <w:tc>
          <w:tcPr>
            <w:tcW w:w="24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20"/>
              </w:rPr>
            </w:pPr>
            <w:r>
              <w:rPr>
                <w:sz w:val="20"/>
              </w:rPr>
              <w:t>$</w:t>
            </w:r>
          </w:p>
        </w:tc>
        <w:tc>
          <w:tcPr>
            <w:tcW w:w="914" w:type="dxa"/>
            <w:tcBorders/>
            <w:shd w:fill="CCEEFF" w:val="clear"/>
            <w:vAlign w:val="center"/>
          </w:tcPr>
          <w:p>
            <w:pPr>
              <w:pStyle w:val="TableContents"/>
              <w:bidi w:val="0"/>
              <w:spacing w:before="0" w:after="283"/>
              <w:jc w:val="right"/>
              <w:rPr>
                <w:sz w:val="20"/>
              </w:rPr>
            </w:pPr>
            <w:r>
              <w:rPr>
                <w:sz w:val="20"/>
              </w:rPr>
              <w:t>0.98</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17" w:type="dxa"/>
        <w:jc w:val="center"/>
        <w:tblInd w:w="0" w:type="dxa"/>
        <w:tblLayout w:type="fixed"/>
        <w:tblCellMar>
          <w:top w:w="0" w:type="dxa"/>
          <w:left w:w="0" w:type="dxa"/>
          <w:bottom w:w="0" w:type="dxa"/>
          <w:right w:w="0" w:type="dxa"/>
        </w:tblCellMar>
      </w:tblPr>
      <w:tblGrid>
        <w:gridCol w:w="3080"/>
        <w:gridCol w:w="60"/>
        <w:gridCol w:w="185"/>
        <w:gridCol w:w="873"/>
        <w:gridCol w:w="273"/>
        <w:gridCol w:w="88"/>
        <w:gridCol w:w="185"/>
        <w:gridCol w:w="873"/>
        <w:gridCol w:w="200"/>
      </w:tblGrid>
      <w:tr>
        <w:trPr/>
        <w:tc>
          <w:tcPr>
            <w:tcW w:w="30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Results</w:t>
            </w:r>
          </w:p>
        </w:tc>
        <w:tc>
          <w:tcPr>
            <w:tcW w:w="60" w:type="dxa"/>
            <w:tcBorders/>
            <w:vAlign w:val="center"/>
          </w:tcPr>
          <w:p>
            <w:pPr>
              <w:pStyle w:val="TableContents"/>
              <w:bidi w:val="0"/>
              <w:spacing w:before="0" w:after="283"/>
              <w:jc w:val="center"/>
              <w:rPr/>
            </w:pPr>
            <w:r>
              <w:rPr/>
              <w:t> </w:t>
            </w:r>
          </w:p>
        </w:tc>
        <w:tc>
          <w:tcPr>
            <w:tcW w:w="2477" w:type="dxa"/>
            <w:gridSpan w:val="6"/>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200" w:type="dxa"/>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73"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sz w:val="20"/>
              </w:rPr>
            </w:pPr>
            <w:r>
              <w:rPr>
                <w:sz w:val="20"/>
              </w:rPr>
              <w:t>Non-GAAP gross margin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42.7</w:t>
            </w:r>
          </w:p>
        </w:tc>
        <w:tc>
          <w:tcPr>
            <w:tcW w:w="273"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45.2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3080" w:type="dxa"/>
            <w:tcBorders/>
            <w:shd w:fill="FFFFFF" w:val="clear"/>
            <w:vAlign w:val="center"/>
          </w:tcPr>
          <w:p>
            <w:pPr>
              <w:pStyle w:val="TableContents"/>
              <w:bidi w:val="0"/>
              <w:spacing w:before="0" w:after="283"/>
              <w:jc w:val="left"/>
              <w:rPr>
                <w:sz w:val="20"/>
              </w:rPr>
            </w:pPr>
            <w:r>
              <w:rPr>
                <w:sz w:val="20"/>
              </w:rPr>
              <w:t>Non-GAAP operating margin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14.7</w:t>
            </w:r>
          </w:p>
        </w:tc>
        <w:tc>
          <w:tcPr>
            <w:tcW w:w="273"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17.7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3080" w:type="dxa"/>
            <w:tcBorders/>
            <w:shd w:fill="CCEEFF" w:val="clear"/>
            <w:vAlign w:val="center"/>
          </w:tcPr>
          <w:p>
            <w:pPr>
              <w:pStyle w:val="TableContents"/>
              <w:bidi w:val="0"/>
              <w:spacing w:before="0" w:after="283"/>
              <w:jc w:val="left"/>
              <w:rPr>
                <w:sz w:val="20"/>
              </w:rPr>
            </w:pPr>
            <w:r>
              <w:rPr>
                <w:sz w:val="20"/>
              </w:rPr>
              <w:t>Adjusted EBITDA</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35,972</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38,872</w:t>
            </w:r>
          </w:p>
        </w:tc>
        <w:tc>
          <w:tcPr>
            <w:tcW w:w="20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sz w:val="20"/>
              </w:rPr>
            </w:pPr>
            <w:r>
              <w:rPr>
                <w:sz w:val="20"/>
              </w:rPr>
              <w:t>Non-GAAP net income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32,968</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36,013</w:t>
            </w:r>
          </w:p>
        </w:tc>
        <w:tc>
          <w:tcPr>
            <w:tcW w:w="20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sz w:val="20"/>
              </w:rPr>
            </w:pPr>
            <w:r>
              <w:rPr>
                <w:sz w:val="20"/>
              </w:rPr>
              <w:t>Non-GAAP diluted earnings per share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1.06</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1.13</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ending September 30, 2026, Axcelis expects revenues of approximately $230 million, GAAP earnings per diluted share of approximately $0.76, and non-GAAP earnings per share of approximately $1.11.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Third Quarter 2026 Outlook under the “Notes on our Non-GAAP Financial Information” section of this document for detail relating to the computation of non-GAAP earnings per diluted share as well as the Safe Harbor Statement section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call to discuss the results for the second quarter 2026 today at 8:30 a.m. ET. The call will be available via webcast that can be accessed through the Investors page of Axcelis' website at www.axcelis.com, or by registering as a participant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https://register-conf.media-server.com/register/BIf61211144e3b4baeb4c13ba3b1f529fa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replays will be available for 30 days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financial measures that are not presented in accordance with U.S. generally accepted accounting principles (“non-GAAP financial measures”). These non-GAAP financial measures include non-GAAP gross profit, non-GAAP gross margin, non-GAAP operating income, non-GAAP operating margin, non-GAAP income tax provision, Adjusted EBITDA, non-GAAP net income, and non-GAAP diluted earnings per share, and reflect adjustments for the impact of share-based compensation expense, certain items related to restructuring and severance charges and any associated adjustments and transaction and integration costs associated with the merger agreement with Veeco Instruments announced on 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these non-GAAP financial measures to the most directly comparable financial measures calculated and presented in accordance with GAAP are provided in the financial tables included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regarding these non-GAAP financial measures, please refer to the tables presenting reconciliations of our non-GAAP results to our GAAP results and the “Notes on Our Non-GAAP Financial Information”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and the conference call will contain, forward-looking statements under the Private Securities Litigation Reform Act safe harbor provisions. These statements, which include our expectations for spending in our industry and guidance for future financial performance, are based on management’s current expectations and should be viewed with caution. They are subject to various risks and uncertainties that could cause actual results to differ materially from those in the forward-looking statements, many of which are outside the control of the Company, including that customer decisions to place orders or our product shipments may not occur when we expect, that orders may not be converted to revenue in any particular quarter, or at all, whether demand will continue for the semiconductor equipment we produce or, if not, whether we can successfully meet changing market requirements, and whether we will be able to maintain continuity of business relationships with and purchases by major customers. Increased competitive pressure on sales and pricing, increases in material and other production costs that cannot be recouped in product pricing and instability caused by changing global economic, political or financial conditions, including with respect to the imposition of tariffs on our products or components of our products, could also cause actual results to differ materially from those in our forward-looking statements. These risks and other risk factors relating to Axcelis are described more fully in the most recent Form 10-K filed by Axcelis and in other documents filed from time to time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Axcelis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Axcelis (Nasdaq: ACLS), headquartered in Beverly, Mass., has been providing innovative, high-productivity solutions for the semiconductor industry for over 45 years. Axcelis is dedicated to developing enabling process applications through the design, manufacture and complete life cycle support of ion implantation systems, one of the most critical and enabling steps in the IC manufacturing process. Learn more about Axcelis at www.axcelis.com.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Ryzhik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Interim CFO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(978) 787-2352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David.Ryzhik@axcelis.com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Maureen Hart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Director, Corporate &amp; Marketing Communications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(978) 787-4266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Maureen.Hart@axcelis.com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Technologies,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955" w:type="dxa"/>
        <w:jc w:val="left"/>
        <w:tblInd w:w="0" w:type="dxa"/>
        <w:tblLayout w:type="fixed"/>
        <w:tblCellMar>
          <w:top w:w="0" w:type="dxa"/>
          <w:left w:w="0" w:type="dxa"/>
          <w:bottom w:w="0" w:type="dxa"/>
          <w:right w:w="0" w:type="dxa"/>
        </w:tblCellMar>
      </w:tblPr>
      <w:tblGrid>
        <w:gridCol w:w="4100"/>
        <w:gridCol w:w="60"/>
        <w:gridCol w:w="125"/>
        <w:gridCol w:w="695"/>
        <w:gridCol w:w="80"/>
        <w:gridCol w:w="60"/>
        <w:gridCol w:w="125"/>
        <w:gridCol w:w="695"/>
        <w:gridCol w:w="80"/>
        <w:gridCol w:w="60"/>
        <w:gridCol w:w="125"/>
        <w:gridCol w:w="695"/>
        <w:gridCol w:w="80"/>
        <w:gridCol w:w="60"/>
        <w:gridCol w:w="125"/>
        <w:gridCol w:w="695"/>
        <w:gridCol w:w="95"/>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center"/>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center"/>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center"/>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Product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200,488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183,402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388,497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366,226</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20,881</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194,544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414,131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387,107</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Product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106,998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95,462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212,734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189,962</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21,034</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Total 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123,986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107,201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242,361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210,996</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91,189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87,343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171,770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176,111</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28,977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57,493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54,192</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36,908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30,127</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33,668</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143,539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117,987</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28,965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28,231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58,124</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11,082</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(1,355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(2,554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(2,722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100" w:type="dxa"/>
            <w:tcBorders/>
            <w:shd w:fill="CCEEFF" w:val="clear"/>
            <w:vAlign w:val="center"/>
          </w:tcPr>
          <w:p>
            <w:pPr>
              <w:pStyle w:val="TableContents"/>
              <w:bidi w:val="0"/>
              <w:spacing w:before="0" w:after="283"/>
              <w:jc w:val="left"/>
              <w:rPr>
                <w:sz w:val="20"/>
              </w:rPr>
            </w:pPr>
            <w:r>
              <w:rPr>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1,597</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9,957</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34,997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68,081</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8,126</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59,955</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1.87</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1.87</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Shares used in computing net income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sz w:val="20"/>
              </w:rPr>
            </w:pPr>
            <w:r>
              <w:rPr>
                <w:sz w:val="20"/>
              </w:rPr>
              <w:t>Basic weighted average shares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30,805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31,847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30,764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32,051</w:t>
            </w:r>
          </w:p>
        </w:tc>
        <w:tc>
          <w:tcPr>
            <w:tcW w:w="9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sz w:val="20"/>
              </w:rPr>
            </w:pPr>
            <w:r>
              <w:rPr>
                <w:sz w:val="20"/>
              </w:rPr>
              <w:t>Diluted weighted average shares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32,103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Technologies,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1"/>
        <w:gridCol w:w="60"/>
        <w:gridCol w:w="140"/>
        <w:gridCol w:w="980"/>
        <w:gridCol w:w="60"/>
        <w:gridCol w:w="171"/>
        <w:gridCol w:w="1206"/>
        <w:gridCol w:w="77"/>
      </w:tblGrid>
      <w:tr>
        <w:trPr/>
        <w:tc>
          <w:tcPr>
            <w:tcW w:w="75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1377" w:type="dxa"/>
            <w:gridSpan w:val="2"/>
            <w:tcBorders/>
            <w:vAlign w:val="center"/>
          </w:tcPr>
          <w:p>
            <w:pPr>
              <w:pStyle w:val="TableContents"/>
              <w:bidi w:val="0"/>
              <w:spacing w:before="0" w:after="283"/>
              <w:jc w:val="center"/>
              <w:rPr>
                <w:b/>
              </w:rPr>
            </w:pPr>
            <w:r>
              <w:rPr>
                <w:b/>
              </w:rPr>
              <w:t>December 31,</w:t>
            </w:r>
          </w:p>
        </w:tc>
        <w:tc>
          <w:tcPr>
            <w:tcW w:w="77" w:type="dxa"/>
            <w:tcBorders/>
            <w:vAlign w:val="center"/>
          </w:tcPr>
          <w:p>
            <w:pPr>
              <w:pStyle w:val="TableContents"/>
              <w:bidi w:val="0"/>
              <w:spacing w:before="0" w:after="283"/>
              <w:jc w:val="center"/>
              <w:rPr/>
            </w:pPr>
            <w:r>
              <w:rPr/>
              <w:t> </w:t>
            </w:r>
          </w:p>
        </w:tc>
      </w:tr>
      <w:tr>
        <w:trPr/>
        <w:tc>
          <w:tcPr>
            <w:tcW w:w="75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center"/>
              <w:rPr/>
            </w:pPr>
            <w:r>
              <w:rPr/>
              <w:t> </w:t>
            </w:r>
          </w:p>
        </w:tc>
      </w:tr>
      <w:tr>
        <w:trPr/>
        <w:tc>
          <w:tcPr>
            <w:tcW w:w="10128" w:type="dxa"/>
            <w:gridSpan w:val="7"/>
            <w:tcBorders/>
            <w:shd w:fill="CCECFF" w:val="clear"/>
            <w:vAlign w:val="center"/>
          </w:tcPr>
          <w:p>
            <w:pPr>
              <w:pStyle w:val="TableContents"/>
              <w:bidi w:val="0"/>
              <w:spacing w:before="0" w:after="283"/>
              <w:jc w:val="center"/>
              <w:rPr>
                <w:b/>
              </w:rPr>
            </w:pPr>
            <w:r>
              <w:rPr>
                <w:b/>
              </w:rPr>
              <w:t>ASSETS</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154,996</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145,451</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Short-term investments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247,220</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228,802</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154,149</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168,479</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Inventories,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338,174</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329,010</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Prepaid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4,863</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4,658</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Prepaid expenses and other current assets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80,369</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tcMar>
              <w:bottom w:w="28" w:type="dxa"/>
            </w:tcMar>
            <w:vAlign w:val="center"/>
          </w:tcPr>
          <w:p>
            <w:pPr>
              <w:pStyle w:val="TableContents"/>
              <w:bidi w:val="0"/>
              <w:spacing w:before="0" w:after="283"/>
              <w:jc w:val="right"/>
              <w:rPr/>
            </w:pPr>
            <w:r>
              <w:rPr/>
              <w:t>66,802</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979,771</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943,202</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Property, plant and equipment,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58,022</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56,146</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Operating lease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27,568</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28,927</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Finance lease assets,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13,516</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14,154</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Long-term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10,633</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10,627</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Deferred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78,815</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79,895</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Long-term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174,829</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182,396</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Other assets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43,684</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tcMar>
              <w:bottom w:w="28" w:type="dxa"/>
            </w:tcMar>
            <w:vAlign w:val="center"/>
          </w:tcPr>
          <w:p>
            <w:pPr>
              <w:pStyle w:val="TableContents"/>
              <w:bidi w:val="0"/>
              <w:spacing w:before="0" w:after="283"/>
              <w:jc w:val="right"/>
              <w:rPr/>
            </w:pPr>
            <w:r>
              <w:rPr/>
              <w:t>46,004</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1,386,838</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6" w:space="0" w:color="000000"/>
            </w:tcBorders>
            <w:shd w:fill="CCEEFF" w:val="clear"/>
            <w:tcMar>
              <w:bottom w:w="28" w:type="dxa"/>
            </w:tcMar>
            <w:vAlign w:val="center"/>
          </w:tcPr>
          <w:p>
            <w:pPr>
              <w:pStyle w:val="TableContents"/>
              <w:bidi w:val="0"/>
              <w:spacing w:before="0" w:after="283"/>
              <w:jc w:val="right"/>
              <w:rPr/>
            </w:pPr>
            <w:r>
              <w:rPr/>
              <w:t>1,361,351</w:t>
            </w:r>
          </w:p>
        </w:tc>
        <w:tc>
          <w:tcPr>
            <w:tcW w:w="77" w:type="dxa"/>
            <w:tcBorders/>
            <w:shd w:fill="CCEEFF" w:val="clear"/>
            <w:vAlign w:val="center"/>
          </w:tcPr>
          <w:p>
            <w:pPr>
              <w:pStyle w:val="TableContents"/>
              <w:bidi w:val="0"/>
              <w:spacing w:before="0" w:after="283"/>
              <w:jc w:val="left"/>
              <w:rPr/>
            </w:pPr>
            <w:r>
              <w:rPr/>
              <w:t> </w:t>
            </w:r>
          </w:p>
        </w:tc>
      </w:tr>
      <w:tr>
        <w:trPr/>
        <w:tc>
          <w:tcPr>
            <w:tcW w:w="10128" w:type="dxa"/>
            <w:gridSpan w:val="7"/>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58,807</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206" w:type="dxa"/>
            <w:tcBorders/>
            <w:vAlign w:val="center"/>
          </w:tcPr>
          <w:p>
            <w:pPr>
              <w:pStyle w:val="TableContents"/>
              <w:bidi w:val="0"/>
              <w:spacing w:before="0" w:after="283"/>
              <w:jc w:val="right"/>
              <w:rPr/>
            </w:pPr>
            <w:r>
              <w:rPr/>
              <w:t>42,309</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20,010</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34,233</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Warranty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9,634</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9,516</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2,833</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11,383</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81,679</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65,494</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Current portion of finance lease obligation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1,722</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1,575</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Other current liabilities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25,416</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tcMar>
              <w:bottom w:w="28" w:type="dxa"/>
            </w:tcMar>
            <w:vAlign w:val="center"/>
          </w:tcPr>
          <w:p>
            <w:pPr>
              <w:pStyle w:val="TableContents"/>
              <w:bidi w:val="0"/>
              <w:spacing w:before="0" w:after="283"/>
              <w:jc w:val="right"/>
              <w:rPr/>
            </w:pPr>
            <w:r>
              <w:rPr/>
              <w:t>33,150</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200,101</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197,660</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Long-term finance lease obligation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39,845</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40,754</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Long-term 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36,863</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43,445</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Other long-term liabilities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44,208</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tcMar>
              <w:bottom w:w="28" w:type="dxa"/>
            </w:tcMar>
            <w:vAlign w:val="center"/>
          </w:tcPr>
          <w:p>
            <w:pPr>
              <w:pStyle w:val="TableContents"/>
              <w:bidi w:val="0"/>
              <w:spacing w:before="0" w:after="283"/>
              <w:jc w:val="right"/>
              <w:rPr/>
            </w:pPr>
            <w:r>
              <w:rPr/>
              <w:t>44,815</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321,017</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326,674</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Common stock, $0.001 par value, 75,000 shares authorized; 30,881 shares issued and outstanding at June 30, 2026; 30,717 shares issued and outstanding at December 31, 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31</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536,152</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533,309</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Retained earnings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536,044</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503,539</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(6,406)</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CCEEFF" w:val="clear"/>
            <w:tcMar>
              <w:bottom w:w="28" w:type="dxa"/>
            </w:tcMar>
            <w:vAlign w:val="center"/>
          </w:tcPr>
          <w:p>
            <w:pPr>
              <w:pStyle w:val="TableContents"/>
              <w:bidi w:val="0"/>
              <w:spacing w:before="0" w:after="283"/>
              <w:jc w:val="right"/>
              <w:rPr/>
            </w:pPr>
            <w:r>
              <w:rPr/>
              <w:t>(2,202)</w:t>
            </w:r>
          </w:p>
        </w:tc>
        <w:tc>
          <w:tcPr>
            <w:tcW w:w="77" w:type="dxa"/>
            <w:tcBorders/>
            <w:shd w:fill="CCEEFF" w:val="clear"/>
            <w:vAlign w:val="center"/>
          </w:tcPr>
          <w:p>
            <w:pPr>
              <w:pStyle w:val="TableContents"/>
              <w:bidi w:val="0"/>
              <w:spacing w:before="0" w:after="283"/>
              <w:jc w:val="left"/>
              <w:rPr/>
            </w:pPr>
            <w:r>
              <w:rPr/>
              <w:t> </w:t>
            </w:r>
          </w:p>
        </w:tc>
      </w:tr>
      <w:tr>
        <w:trPr/>
        <w:tc>
          <w:tcPr>
            <w:tcW w:w="7511" w:type="dxa"/>
            <w:tcBorders/>
            <w:vAlign w:val="center"/>
          </w:tcPr>
          <w:p>
            <w:pPr>
              <w:pStyle w:val="TableContents"/>
              <w:bidi w:val="0"/>
              <w:spacing w:before="0" w:after="283"/>
              <w:jc w:val="left"/>
              <w:rPr/>
            </w:pPr>
            <w:r>
              <w:rPr/>
              <w:t>Total stockholders’ equity</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1,065,821</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tcMar>
              <w:bottom w:w="28" w:type="dxa"/>
            </w:tcMar>
            <w:vAlign w:val="center"/>
          </w:tcPr>
          <w:p>
            <w:pPr>
              <w:pStyle w:val="TableContents"/>
              <w:bidi w:val="0"/>
              <w:spacing w:before="0" w:after="283"/>
              <w:jc w:val="right"/>
              <w:rPr/>
            </w:pPr>
            <w:r>
              <w:rPr/>
              <w:t>1,034,677</w:t>
            </w:r>
          </w:p>
        </w:tc>
        <w:tc>
          <w:tcPr>
            <w:tcW w:w="77" w:type="dxa"/>
            <w:tcBorders/>
            <w:vAlign w:val="center"/>
          </w:tcPr>
          <w:p>
            <w:pPr>
              <w:pStyle w:val="TableContents"/>
              <w:bidi w:val="0"/>
              <w:spacing w:before="0" w:after="283"/>
              <w:jc w:val="left"/>
              <w:rPr/>
            </w:pPr>
            <w:r>
              <w:rPr/>
              <w:t> </w:t>
            </w:r>
          </w:p>
        </w:tc>
      </w:tr>
      <w:tr>
        <w:trPr/>
        <w:tc>
          <w:tcPr>
            <w:tcW w:w="7511"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1,386,838</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6" w:space="0" w:color="000000"/>
            </w:tcBorders>
            <w:shd w:fill="CCEEFF" w:val="clear"/>
            <w:tcMar>
              <w:bottom w:w="28" w:type="dxa"/>
            </w:tcMar>
            <w:vAlign w:val="center"/>
          </w:tcPr>
          <w:p>
            <w:pPr>
              <w:pStyle w:val="TableContents"/>
              <w:bidi w:val="0"/>
              <w:spacing w:before="0" w:after="283"/>
              <w:jc w:val="right"/>
              <w:rPr/>
            </w:pPr>
            <w:r>
              <w:rPr/>
              <w:t>1,361,351</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Technologies,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0"/>
        <w:gridCol w:w="60"/>
        <w:gridCol w:w="125"/>
        <w:gridCol w:w="695"/>
        <w:gridCol w:w="80"/>
        <w:gridCol w:w="60"/>
        <w:gridCol w:w="125"/>
        <w:gridCol w:w="695"/>
        <w:gridCol w:w="80"/>
        <w:gridCol w:w="60"/>
        <w:gridCol w:w="125"/>
        <w:gridCol w:w="695"/>
        <w:gridCol w:w="80"/>
        <w:gridCol w:w="60"/>
        <w:gridCol w:w="125"/>
        <w:gridCol w:w="695"/>
        <w:gridCol w:w="95"/>
      </w:tblGrid>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vAlign w:val="center"/>
          </w:tcPr>
          <w:p>
            <w:pPr>
              <w:pStyle w:val="TableContents"/>
              <w:bidi w:val="0"/>
              <w:spacing w:before="0" w:after="283"/>
              <w:jc w:val="center"/>
              <w:rPr>
                <w:b/>
                <w:sz w:val="20"/>
              </w:rPr>
            </w:pPr>
            <w:r>
              <w:rPr>
                <w:b/>
                <w:sz w:val="20"/>
              </w:rPr>
              <w:t>Three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center"/>
              <w:rPr/>
            </w:pPr>
            <w:r>
              <w:rPr/>
              <w:t> </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95" w:type="dxa"/>
            <w:tcBorders/>
            <w:vAlign w:val="center"/>
          </w:tcPr>
          <w:p>
            <w:pPr>
              <w:pStyle w:val="TableContents"/>
              <w:bidi w:val="0"/>
              <w:spacing w:before="0" w:after="283"/>
              <w:jc w:val="center"/>
              <w:rPr/>
            </w:pPr>
            <w:r>
              <w:rPr/>
              <w:t> </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center"/>
              <w:rPr/>
            </w:pPr>
            <w:r>
              <w:rPr/>
              <w:t> </w:t>
            </w:r>
          </w:p>
        </w:tc>
      </w:tr>
      <w:tr>
        <w:trPr/>
        <w:tc>
          <w:tcPr>
            <w:tcW w:w="6350"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23,291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31,376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32,505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59,955</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8,824</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10,324</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(9,335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(11,017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50" w:type="dxa"/>
            <w:tcBorders/>
            <w:shd w:fill="CCEEFF" w:val="clear"/>
            <w:vAlign w:val="center"/>
          </w:tcPr>
          <w:p>
            <w:pPr>
              <w:pStyle w:val="TableContents"/>
              <w:bidi w:val="0"/>
              <w:spacing w:before="0" w:after="283"/>
              <w:jc w:val="left"/>
              <w:rPr>
                <w:sz w:val="20"/>
              </w:rPr>
            </w:pPr>
            <w:r>
              <w:rPr>
                <w:sz w:val="20"/>
              </w:rPr>
              <w:t>Change in other assets and liabilities,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(15,137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(19,352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11,436</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18,373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39,727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36,512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79,522</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b/>
                <w:sz w:val="20"/>
              </w:rPr>
            </w:pPr>
            <w:r>
              <w:rPr>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Expenditures for property, plant and equipment and capitalized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(1,985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(5,393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(6,945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350" w:type="dxa"/>
            <w:tcBorders/>
            <w:shd w:fill="FFFFFF" w:val="clear"/>
            <w:vAlign w:val="center"/>
          </w:tcPr>
          <w:p>
            <w:pPr>
              <w:pStyle w:val="TableContents"/>
              <w:bidi w:val="0"/>
              <w:spacing w:before="0" w:after="283"/>
              <w:jc w:val="left"/>
              <w:rPr>
                <w:sz w:val="20"/>
              </w:rPr>
            </w:pPr>
            <w:r>
              <w:rPr>
                <w:sz w:val="20"/>
              </w:rPr>
              <w:t>Other changes in investing activities,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(2,628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42,801</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(6,097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(4,613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(16,736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35,856</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(45,337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(63,515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50" w:type="dxa"/>
            <w:tcBorders/>
            <w:shd w:fill="CCEEFF" w:val="clear"/>
            <w:vAlign w:val="center"/>
          </w:tcPr>
          <w:p>
            <w:pPr>
              <w:pStyle w:val="TableContents"/>
              <w:bidi w:val="0"/>
              <w:spacing w:before="0" w:after="283"/>
              <w:jc w:val="left"/>
              <w:rPr>
                <w:sz w:val="20"/>
              </w:rPr>
            </w:pPr>
            <w:r>
              <w:rPr>
                <w:sz w:val="20"/>
              </w:rPr>
              <w:t>Other changes from financing activities,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(7,608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(1,650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(9,005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(3,582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350" w:type="dxa"/>
            <w:tcBorders/>
            <w:shd w:fill="FFFFFF" w:val="clear"/>
            <w:vAlign w:val="center"/>
          </w:tcPr>
          <w:p>
            <w:pPr>
              <w:pStyle w:val="TableContents"/>
              <w:bidi w:val="0"/>
              <w:spacing w:before="0" w:after="283"/>
              <w:jc w:val="left"/>
              <w:rPr>
                <w:sz w:val="20"/>
              </w:rPr>
            </w:pPr>
            <w:r>
              <w:rPr>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(7,852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(46,987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(9,249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(67,097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1,935</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(10,230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50,216</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161,457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191,510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156,078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131,064</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165,629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181,280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165,629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181,280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Technologies,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Reconciling Selected Non-GAAP Financial Measures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680"/>
        <w:gridCol w:w="60"/>
        <w:gridCol w:w="185"/>
        <w:gridCol w:w="873"/>
        <w:gridCol w:w="273"/>
        <w:gridCol w:w="88"/>
        <w:gridCol w:w="185"/>
        <w:gridCol w:w="873"/>
        <w:gridCol w:w="185"/>
        <w:gridCol w:w="60"/>
        <w:gridCol w:w="148"/>
        <w:gridCol w:w="825"/>
        <w:gridCol w:w="219"/>
        <w:gridCol w:w="71"/>
        <w:gridCol w:w="148"/>
        <w:gridCol w:w="825"/>
        <w:gridCol w:w="200"/>
      </w:tblGrid>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200" w:type="dxa"/>
            <w:tcBorders/>
            <w:vAlign w:val="center"/>
          </w:tcPr>
          <w:p>
            <w:pPr>
              <w:pStyle w:val="TableContents"/>
              <w:bidi w:val="0"/>
              <w:spacing w:before="0" w:after="283"/>
              <w:jc w:val="center"/>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73"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19"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97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center"/>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GAAP gross Profit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91,189</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87,343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825" w:type="dxa"/>
            <w:tcBorders/>
            <w:shd w:fill="CCEEFF" w:val="clear"/>
            <w:vAlign w:val="center"/>
          </w:tcPr>
          <w:p>
            <w:pPr>
              <w:pStyle w:val="TableContents"/>
              <w:bidi w:val="0"/>
              <w:spacing w:before="0" w:after="283"/>
              <w:jc w:val="right"/>
              <w:rPr>
                <w:sz w:val="20"/>
              </w:rPr>
            </w:pPr>
            <w:r>
              <w:rPr>
                <w:sz w:val="20"/>
              </w:rPr>
              <w:t>171,770</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825" w:type="dxa"/>
            <w:tcBorders/>
            <w:shd w:fill="CCEEFF" w:val="clear"/>
            <w:vAlign w:val="center"/>
          </w:tcPr>
          <w:p>
            <w:pPr>
              <w:pStyle w:val="TableContents"/>
              <w:bidi w:val="0"/>
              <w:spacing w:before="0" w:after="283"/>
              <w:jc w:val="right"/>
              <w:rPr>
                <w:sz w:val="20"/>
              </w:rPr>
            </w:pPr>
            <w:r>
              <w:rPr>
                <w:sz w:val="20"/>
              </w:rPr>
              <w:t>176,111</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Restructuring</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226</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755</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1,197</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922</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Non-GAAP gross profit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91,944</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87,912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172,967</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177,259</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Non-GAAP gross margin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42.7</w:t>
            </w:r>
          </w:p>
        </w:tc>
        <w:tc>
          <w:tcPr>
            <w:tcW w:w="273"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45.2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41.8</w:t>
            </w:r>
          </w:p>
        </w:tc>
        <w:tc>
          <w:tcPr>
            <w:tcW w:w="219"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45.8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GAAP operating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70,908</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58,378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825" w:type="dxa"/>
            <w:tcBorders/>
            <w:shd w:fill="CCEEFF" w:val="clear"/>
            <w:vAlign w:val="center"/>
          </w:tcPr>
          <w:p>
            <w:pPr>
              <w:pStyle w:val="TableContents"/>
              <w:bidi w:val="0"/>
              <w:spacing w:before="0" w:after="283"/>
              <w:jc w:val="right"/>
              <w:rPr>
                <w:sz w:val="20"/>
              </w:rPr>
            </w:pPr>
            <w:r>
              <w:rPr>
                <w:sz w:val="20"/>
              </w:rPr>
              <w:t>143,539</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825" w:type="dxa"/>
            <w:tcBorders/>
            <w:shd w:fill="CCEEFF" w:val="clear"/>
            <w:vAlign w:val="center"/>
          </w:tcPr>
          <w:p>
            <w:pPr>
              <w:pStyle w:val="TableContents"/>
              <w:bidi w:val="0"/>
              <w:spacing w:before="0" w:after="283"/>
              <w:jc w:val="right"/>
              <w:rPr>
                <w:sz w:val="20"/>
              </w:rPr>
            </w:pPr>
            <w:r>
              <w:rPr>
                <w:sz w:val="20"/>
              </w:rPr>
              <w:t>117,987</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Transaction and integration</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(4,827</w:t>
            </w:r>
          </w:p>
        </w:tc>
        <w:tc>
          <w:tcPr>
            <w:tcW w:w="273"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(15,225</w:t>
            </w:r>
          </w:p>
        </w:tc>
        <w:tc>
          <w:tcPr>
            <w:tcW w:w="219"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(481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sz w:val="20"/>
              </w:rPr>
            </w:pPr>
            <w:r>
              <w:rPr>
                <w:sz w:val="20"/>
              </w:rPr>
              <w:t>Bad debt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(65</w:t>
            </w:r>
          </w:p>
        </w:tc>
        <w:tc>
          <w:tcPr>
            <w:tcW w:w="219"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Restructuring</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(894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(5,670</w:t>
            </w:r>
          </w:p>
        </w:tc>
        <w:tc>
          <w:tcPr>
            <w:tcW w:w="273"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(4,852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(10,127</w:t>
            </w:r>
          </w:p>
        </w:tc>
        <w:tc>
          <w:tcPr>
            <w:tcW w:w="219"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(9,402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sz w:val="20"/>
              </w:rPr>
            </w:pPr>
            <w:r>
              <w:rPr>
                <w:sz w:val="20"/>
              </w:rPr>
              <w:t>Non-GAAP operating expense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60,411</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53,555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118,122</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107,210</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GAAP operating income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20,281</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28,965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28,231</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58,124</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Transaction and integration</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4,827</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15,225</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481</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Bad debt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65</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Restructuring</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(29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1,120</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6,425</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11,324</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10,324</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Non-GAAP operating income</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31,533</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34,357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54,845</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70,049</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Non-GAAP operating margin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14.7</w:t>
            </w:r>
          </w:p>
        </w:tc>
        <w:tc>
          <w:tcPr>
            <w:tcW w:w="273"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17.7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13.2</w:t>
            </w:r>
          </w:p>
        </w:tc>
        <w:tc>
          <w:tcPr>
            <w:tcW w:w="219"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18.1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GAAP income tax provision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2,057</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3,621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3,468</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8,126</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Income tax effect of non-GAAP adjustments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1,575</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3,726</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1,670</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Non-GAAP income tax provision</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3,632</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7,194</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9,796</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GAAP net income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23,291</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31,376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32,505</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59,955</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Transaction and integration</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4,827</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15,225</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481</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Bad debt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65</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Restructuring</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(29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1,120</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6,425</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5,421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11,324</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10,324</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Income tax effect of non-GAAP adjustments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(1,575</w:t>
            </w:r>
          </w:p>
        </w:tc>
        <w:tc>
          <w:tcPr>
            <w:tcW w:w="273"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(3,726</w:t>
            </w:r>
          </w:p>
        </w:tc>
        <w:tc>
          <w:tcPr>
            <w:tcW w:w="219"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(1,670</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sz w:val="20"/>
              </w:rPr>
            </w:pPr>
            <w:r>
              <w:rPr>
                <w:sz w:val="20"/>
              </w:rPr>
              <w:t>Non-GAAP net income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32,968</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36,013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55,393</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70,210</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GAAP diluted EPS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0.75</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3" w:type="dxa"/>
            <w:tcBorders/>
            <w:shd w:fill="FFFFFF" w:val="clear"/>
            <w:vAlign w:val="center"/>
          </w:tcPr>
          <w:p>
            <w:pPr>
              <w:pStyle w:val="TableContents"/>
              <w:bidi w:val="0"/>
              <w:spacing w:before="0" w:after="283"/>
              <w:jc w:val="right"/>
              <w:rPr>
                <w:sz w:val="20"/>
              </w:rPr>
            </w:pPr>
            <w:r>
              <w:rPr>
                <w:sz w:val="20"/>
              </w:rPr>
              <w:t>0.98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1.05</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sz w:val="20"/>
              </w:rPr>
            </w:pPr>
            <w:r>
              <w:rPr>
                <w:sz w:val="20"/>
              </w:rPr>
              <w:t>$</w:t>
            </w:r>
          </w:p>
        </w:tc>
        <w:tc>
          <w:tcPr>
            <w:tcW w:w="825" w:type="dxa"/>
            <w:tcBorders/>
            <w:shd w:fill="FFFFFF" w:val="clear"/>
            <w:vAlign w:val="center"/>
          </w:tcPr>
          <w:p>
            <w:pPr>
              <w:pStyle w:val="TableContents"/>
              <w:bidi w:val="0"/>
              <w:spacing w:before="0" w:after="283"/>
              <w:jc w:val="right"/>
              <w:rPr>
                <w:sz w:val="20"/>
              </w:rPr>
            </w:pPr>
            <w:r>
              <w:rPr>
                <w:sz w:val="20"/>
              </w:rPr>
              <w:t>1.87</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Transaction and integration</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0.16</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0.49</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.01</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Bad debt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Restructuring</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sz w:val="20"/>
              </w:rPr>
            </w:pPr>
            <w:r>
              <w:rPr>
                <w:sz w:val="20"/>
              </w:rPr>
              <w:t>0.03</w:t>
            </w:r>
          </w:p>
        </w:tc>
        <w:tc>
          <w:tcPr>
            <w:tcW w:w="20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0.21</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0.17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0.36</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sz w:val="20"/>
              </w:rPr>
            </w:pPr>
            <w:r>
              <w:rPr>
                <w:sz w:val="20"/>
              </w:rPr>
              <w:t>0.32</w:t>
            </w:r>
          </w:p>
        </w:tc>
        <w:tc>
          <w:tcPr>
            <w:tcW w:w="20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Income tax effect of non-GAAP adjustments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(0.05</w:t>
            </w:r>
          </w:p>
        </w:tc>
        <w:tc>
          <w:tcPr>
            <w:tcW w:w="273"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(0.12</w:t>
            </w:r>
          </w:p>
        </w:tc>
        <w:tc>
          <w:tcPr>
            <w:tcW w:w="219"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(0.05</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3680" w:type="dxa"/>
            <w:tcBorders/>
            <w:shd w:fill="FFFFFF" w:val="clear"/>
            <w:vAlign w:val="center"/>
          </w:tcPr>
          <w:p>
            <w:pPr>
              <w:pStyle w:val="TableContents"/>
              <w:bidi w:val="0"/>
              <w:spacing w:before="0" w:after="283"/>
              <w:jc w:val="left"/>
              <w:rPr>
                <w:sz w:val="20"/>
              </w:rPr>
            </w:pPr>
            <w:r>
              <w:rPr>
                <w:sz w:val="20"/>
              </w:rPr>
              <w:t>Non-GAAP diluted EPS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1.06</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1.78</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2.19</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160"/>
        <w:gridCol w:w="944"/>
      </w:tblGrid>
      <w:tr>
        <w:trPr/>
        <w:tc>
          <w:tcPr>
            <w:tcW w:w="1160" w:type="dxa"/>
            <w:tcBorders/>
            <w:vAlign w:val="center"/>
          </w:tcPr>
          <w:p>
            <w:pPr>
              <w:pStyle w:val="TableContents"/>
              <w:bidi w:val="0"/>
              <w:spacing w:before="0" w:after="283"/>
              <w:jc w:val="left"/>
              <w:rPr>
                <w:b/>
                <w:sz w:val="20"/>
              </w:rPr>
            </w:pPr>
            <w:r>
              <w:rPr>
                <w:b/>
                <w:sz w:val="20"/>
              </w:rPr>
              <w:t>News Release</w:t>
            </w:r>
          </w:p>
        </w:tc>
        <w:tc>
          <w:tcPr>
            <w:tcW w:w="944" w:type="dxa"/>
            <w:tcBorders/>
            <w:vAlign w:val="center"/>
          </w:tcPr>
          <w:p>
            <w:pPr>
              <w:pStyle w:val="TableContents"/>
              <w:bidi w:val="0"/>
              <w:spacing w:before="0" w:after="283"/>
              <w:jc w:val="right"/>
              <w:rPr/>
            </w:pPr>
            <w:r>
              <w:rPr/>
              <w:drawing>
                <wp:inline distT="0" distB="0" distL="0" distR="0">
                  <wp:extent cx="589915" cy="1739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9915" cy="17399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60"/>
        <w:gridCol w:w="9507"/>
      </w:tblGrid>
      <w:tr>
        <w:trPr/>
        <w:tc>
          <w:tcPr>
            <w:tcW w:w="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pPr>
            <w:r>
              <w:rPr/>
              <w:t>Note 1:</w:t>
            </w:r>
          </w:p>
        </w:tc>
        <w:tc>
          <w:tcPr>
            <w:tcW w:w="9507" w:type="dxa"/>
            <w:tcBorders/>
            <w:vAlign w:val="center"/>
          </w:tcPr>
          <w:p>
            <w:pPr>
              <w:pStyle w:val="TableContents"/>
              <w:bidi w:val="0"/>
              <w:spacing w:before="0" w:after="283"/>
              <w:jc w:val="both"/>
              <w:rPr/>
            </w:pPr>
            <w:r>
              <w:rPr/>
              <w:t>Restructuring and other costs primarily related to early retirement programs and severance costs, due to global cost-saving initiatives.</w:t>
            </w:r>
          </w:p>
        </w:tc>
      </w:tr>
    </w:tbl>
    <w:tbl>
      <w:tblPr>
        <w:tblW w:w="10205" w:type="dxa"/>
        <w:jc w:val="left"/>
        <w:tblInd w:w="0" w:type="dxa"/>
        <w:tblLayout w:type="fixed"/>
        <w:tblCellMar>
          <w:top w:w="0" w:type="dxa"/>
          <w:left w:w="0" w:type="dxa"/>
          <w:bottom w:w="0" w:type="dxa"/>
          <w:right w:w="0" w:type="dxa"/>
        </w:tblCellMar>
      </w:tblPr>
      <w:tblGrid>
        <w:gridCol w:w="38"/>
        <w:gridCol w:w="543"/>
        <w:gridCol w:w="9624"/>
      </w:tblGrid>
      <w:tr>
        <w:trPr/>
        <w:tc>
          <w:tcPr>
            <w:tcW w:w="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 xml:space="preserve">Note 2: </w:t>
            </w:r>
          </w:p>
        </w:tc>
        <w:tc>
          <w:tcPr>
            <w:tcW w:w="9624" w:type="dxa"/>
            <w:tcBorders/>
            <w:vAlign w:val="center"/>
          </w:tcPr>
          <w:p>
            <w:pPr>
              <w:pStyle w:val="TableContents"/>
              <w:bidi w:val="0"/>
              <w:spacing w:before="0" w:after="283"/>
              <w:jc w:val="left"/>
              <w:rPr/>
            </w:pPr>
            <w:r>
              <w:rPr/>
              <w:t>Transaction and integration costs include expenses associated with the merger agreement with Veeco Instruments, announced on October 1, 2025. Transaction and integration costs for the six months ended June 30, 2025 include $481,000 of expenses that were not reflected as a GAAP to Non-GAAP reconciliation line item when the Company reported second quarter 2025 results, given that they occurred prior to transaction announcement on October 1, 2025.</w:t>
            </w:r>
          </w:p>
        </w:tc>
      </w:tr>
    </w:tbl>
    <w:tbl>
      <w:tblPr>
        <w:tblW w:w="8073" w:type="dxa"/>
        <w:jc w:val="left"/>
        <w:tblInd w:w="0" w:type="dxa"/>
        <w:tblLayout w:type="fixed"/>
        <w:tblCellMar>
          <w:top w:w="0" w:type="dxa"/>
          <w:left w:w="0" w:type="dxa"/>
          <w:bottom w:w="0" w:type="dxa"/>
          <w:right w:w="0" w:type="dxa"/>
        </w:tblCellMar>
      </w:tblPr>
      <w:tblGrid>
        <w:gridCol w:w="38"/>
        <w:gridCol w:w="785"/>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xml:space="preserve">Note 3: </w:t>
            </w:r>
          </w:p>
        </w:tc>
        <w:tc>
          <w:tcPr>
            <w:tcW w:w="7250" w:type="dxa"/>
            <w:tcBorders/>
            <w:vAlign w:val="center"/>
          </w:tcPr>
          <w:p>
            <w:pPr>
              <w:pStyle w:val="TableContents"/>
              <w:bidi w:val="0"/>
              <w:spacing w:before="0" w:after="283"/>
              <w:jc w:val="both"/>
              <w:rPr/>
            </w:pPr>
            <w:r>
              <w:rPr/>
              <w:t>Impact of taxes from non-GAAP adjustments, uses adjusted tax rate of 14%.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Figures may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to Adjusted EBITDA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percentages)  </w:t>
      </w:r>
    </w:p>
    <w:p>
      <w:pPr>
        <w:pStyle w:val="TextBody"/>
        <w:bidi w:val="0"/>
        <w:spacing w:before="0" w:after="283"/>
        <w:jc w:val="left"/>
        <w:rPr/>
      </w:pPr>
      <w:r>
        <w:rPr/>
        <w:t> </w:t>
      </w:r>
    </w:p>
    <w:tbl>
      <w:tblPr>
        <w:tblW w:w="7596" w:type="dxa"/>
        <w:jc w:val="left"/>
        <w:tblInd w:w="0" w:type="dxa"/>
        <w:tblLayout w:type="fixed"/>
        <w:tblCellMar>
          <w:top w:w="0" w:type="dxa"/>
          <w:left w:w="0" w:type="dxa"/>
          <w:bottom w:w="0" w:type="dxa"/>
          <w:right w:w="0" w:type="dxa"/>
        </w:tblCellMar>
      </w:tblPr>
      <w:tblGrid>
        <w:gridCol w:w="2375"/>
        <w:gridCol w:w="60"/>
        <w:gridCol w:w="185"/>
        <w:gridCol w:w="873"/>
        <w:gridCol w:w="273"/>
        <w:gridCol w:w="88"/>
        <w:gridCol w:w="185"/>
        <w:gridCol w:w="873"/>
        <w:gridCol w:w="185"/>
        <w:gridCol w:w="60"/>
        <w:gridCol w:w="167"/>
        <w:gridCol w:w="789"/>
        <w:gridCol w:w="247"/>
        <w:gridCol w:w="80"/>
        <w:gridCol w:w="167"/>
        <w:gridCol w:w="789"/>
        <w:gridCol w:w="200"/>
      </w:tblGrid>
      <w:tr>
        <w:trPr/>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3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20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73"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4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sz w:val="20"/>
              </w:rPr>
            </w:pPr>
            <w:r>
              <w:rPr>
                <w:sz w:val="20"/>
              </w:rPr>
              <w:t>Net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23,291</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3" w:type="dxa"/>
            <w:tcBorders/>
            <w:shd w:fill="CCEEFF" w:val="clear"/>
            <w:vAlign w:val="center"/>
          </w:tcPr>
          <w:p>
            <w:pPr>
              <w:pStyle w:val="TableContents"/>
              <w:bidi w:val="0"/>
              <w:spacing w:before="0" w:after="283"/>
              <w:jc w:val="right"/>
              <w:rPr>
                <w:sz w:val="20"/>
              </w:rPr>
            </w:pPr>
            <w:r>
              <w:rPr>
                <w:sz w:val="20"/>
              </w:rPr>
              <w:t>31,376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89" w:type="dxa"/>
            <w:tcBorders/>
            <w:shd w:fill="CCEEFF" w:val="clear"/>
            <w:vAlign w:val="center"/>
          </w:tcPr>
          <w:p>
            <w:pPr>
              <w:pStyle w:val="TableContents"/>
              <w:bidi w:val="0"/>
              <w:spacing w:before="0" w:after="283"/>
              <w:jc w:val="right"/>
              <w:rPr>
                <w:sz w:val="20"/>
              </w:rPr>
            </w:pPr>
            <w:r>
              <w:rPr>
                <w:sz w:val="20"/>
              </w:rPr>
              <w:t>32,505</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89" w:type="dxa"/>
            <w:tcBorders/>
            <w:shd w:fill="CCEEFF" w:val="clear"/>
            <w:vAlign w:val="center"/>
          </w:tcPr>
          <w:p>
            <w:pPr>
              <w:pStyle w:val="TableContents"/>
              <w:bidi w:val="0"/>
              <w:spacing w:before="0" w:after="283"/>
              <w:jc w:val="right"/>
              <w:rPr>
                <w:sz w:val="20"/>
              </w:rPr>
            </w:pPr>
            <w:r>
              <w:rPr>
                <w:sz w:val="20"/>
              </w:rPr>
              <w:t>59,955</w:t>
            </w:r>
          </w:p>
        </w:tc>
        <w:tc>
          <w:tcPr>
            <w:tcW w:w="20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sz w:val="20"/>
              </w:rPr>
            </w:pPr>
            <w:r>
              <w:rPr>
                <w:sz w:val="20"/>
              </w:rPr>
              <w:t>Other (income)/expense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(5,067</w:t>
            </w:r>
          </w:p>
        </w:tc>
        <w:tc>
          <w:tcPr>
            <w:tcW w:w="273"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(6,032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sz w:val="20"/>
              </w:rPr>
            </w:pPr>
            <w:r>
              <w:rPr>
                <w:sz w:val="20"/>
              </w:rPr>
              <w:t>(7,742</w:t>
            </w:r>
          </w:p>
        </w:tc>
        <w:tc>
          <w:tcPr>
            <w:tcW w:w="247"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sz w:val="20"/>
              </w:rPr>
            </w:pPr>
            <w:r>
              <w:rPr>
                <w:sz w:val="20"/>
              </w:rPr>
              <w:t>(9,957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375" w:type="dxa"/>
            <w:tcBorders/>
            <w:shd w:fill="CCEEFF" w:val="clear"/>
            <w:vAlign w:val="center"/>
          </w:tcPr>
          <w:p>
            <w:pPr>
              <w:pStyle w:val="TableContents"/>
              <w:bidi w:val="0"/>
              <w:spacing w:before="0" w:after="283"/>
              <w:jc w:val="left"/>
              <w:rPr>
                <w:sz w:val="20"/>
              </w:rPr>
            </w:pPr>
            <w:r>
              <w:rPr>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2,057</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3,621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3,468</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8,126</w:t>
            </w:r>
          </w:p>
        </w:tc>
        <w:tc>
          <w:tcPr>
            <w:tcW w:w="20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sz w:val="20"/>
              </w:rPr>
            </w:pPr>
            <w:r>
              <w:rPr>
                <w:sz w:val="20"/>
              </w:rPr>
              <w:t>Depreciation &amp; amortization</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4,439</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8,875</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8,824</w:t>
            </w:r>
          </w:p>
        </w:tc>
        <w:tc>
          <w:tcPr>
            <w:tcW w:w="20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sz w:val="20"/>
              </w:rPr>
            </w:pPr>
            <w:r>
              <w:rPr>
                <w:sz w:val="20"/>
              </w:rPr>
              <w:t>Subtotal</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24,720</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33,480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37,106</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66,948</w:t>
            </w:r>
          </w:p>
        </w:tc>
        <w:tc>
          <w:tcPr>
            <w:tcW w:w="20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sz w:val="20"/>
              </w:rPr>
            </w:pPr>
            <w:r>
              <w:rPr>
                <w:sz w:val="20"/>
              </w:rPr>
              <w:t>Transaction and integration</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4,827</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sz w:val="20"/>
              </w:rPr>
            </w:pPr>
            <w:r>
              <w:rPr>
                <w:sz w:val="20"/>
              </w:rPr>
              <w:t>15,225</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sz w:val="20"/>
              </w:rPr>
            </w:pPr>
            <w:r>
              <w:rPr>
                <w:sz w:val="20"/>
              </w:rPr>
              <w:t>481</w:t>
            </w:r>
          </w:p>
        </w:tc>
        <w:tc>
          <w:tcPr>
            <w:tcW w:w="20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sz w:val="20"/>
              </w:rPr>
            </w:pPr>
            <w:r>
              <w:rPr>
                <w:sz w:val="20"/>
              </w:rPr>
              <w:t>Bad debt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65</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sz w:val="20"/>
              </w:rPr>
            </w:pPr>
            <w:r>
              <w:rPr>
                <w:sz w:val="20"/>
              </w:rPr>
              <w:t>Restructuring</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20"/>
              </w:rPr>
            </w:pPr>
            <w:r>
              <w:rPr>
                <w:sz w:val="20"/>
              </w:rPr>
              <w:t>(29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sz w:val="20"/>
              </w:rPr>
            </w:pPr>
            <w:r>
              <w:rPr>
                <w:sz w:val="20"/>
              </w:rPr>
              <w:t>1,120</w:t>
            </w:r>
          </w:p>
        </w:tc>
        <w:tc>
          <w:tcPr>
            <w:tcW w:w="20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6,425</w:t>
            </w:r>
          </w:p>
        </w:tc>
        <w:tc>
          <w:tcPr>
            <w:tcW w:w="27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5,421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11,324</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10,324</w:t>
            </w:r>
          </w:p>
        </w:tc>
        <w:tc>
          <w:tcPr>
            <w:tcW w:w="20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sz w:val="20"/>
              </w:rPr>
            </w:pPr>
            <w:r>
              <w:rPr>
                <w:sz w:val="20"/>
              </w:rPr>
              <w:t>Adjusted EBITDA</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35,972</w:t>
            </w:r>
          </w:p>
        </w:tc>
        <w:tc>
          <w:tcPr>
            <w:tcW w:w="27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38,872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63,720</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78,873</w:t>
            </w:r>
          </w:p>
        </w:tc>
        <w:tc>
          <w:tcPr>
            <w:tcW w:w="20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sz w:val="20"/>
              </w:rPr>
            </w:pPr>
            <w:r>
              <w:rPr>
                <w:sz w:val="20"/>
              </w:rPr>
              <w:t>Adjusted EBITDA margin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16.7</w:t>
            </w:r>
          </w:p>
        </w:tc>
        <w:tc>
          <w:tcPr>
            <w:tcW w:w="273"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sz w:val="20"/>
              </w:rPr>
            </w:pPr>
            <w:r>
              <w:rPr>
                <w:sz w:val="20"/>
              </w:rPr>
              <w:t>20.0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15.4</w:t>
            </w:r>
          </w:p>
        </w:tc>
        <w:tc>
          <w:tcPr>
            <w:tcW w:w="247"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20.4</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54"/>
        <w:gridCol w:w="9613"/>
      </w:tblGrid>
      <w:tr>
        <w:trPr/>
        <w:tc>
          <w:tcPr>
            <w:tcW w:w="3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pPr>
            <w:r>
              <w:rPr/>
              <w:t>Note 1:</w:t>
            </w:r>
          </w:p>
        </w:tc>
        <w:tc>
          <w:tcPr>
            <w:tcW w:w="9613" w:type="dxa"/>
            <w:tcBorders/>
            <w:vAlign w:val="center"/>
          </w:tcPr>
          <w:p>
            <w:pPr>
              <w:pStyle w:val="TableContents"/>
              <w:bidi w:val="0"/>
              <w:spacing w:before="0" w:after="283"/>
              <w:jc w:val="left"/>
              <w:rPr/>
            </w:pPr>
            <w:r>
              <w:rPr/>
              <w:t>Transaction and integration costs for the six months ended June 30, 2025 include $481,000 of expenses that were not reflected as a GAAP to Non-GAAP reconciliation line item when the Company reported second quarter 2025 results, given that they occurred prior to transaction announcement on October 1, 2025.</w:t>
            </w:r>
          </w:p>
        </w:tc>
      </w:tr>
    </w:tbl>
    <w:tbl>
      <w:tblPr>
        <w:tblW w:w="10205" w:type="dxa"/>
        <w:jc w:val="left"/>
        <w:tblInd w:w="0" w:type="dxa"/>
        <w:tblLayout w:type="fixed"/>
        <w:tblCellMar>
          <w:top w:w="0" w:type="dxa"/>
          <w:left w:w="0" w:type="dxa"/>
          <w:bottom w:w="0" w:type="dxa"/>
          <w:right w:w="0" w:type="dxa"/>
        </w:tblCellMar>
      </w:tblPr>
      <w:tblGrid>
        <w:gridCol w:w="38"/>
        <w:gridCol w:w="703"/>
        <w:gridCol w:w="9464"/>
      </w:tblGrid>
      <w:tr>
        <w:trPr/>
        <w:tc>
          <w:tcPr>
            <w:tcW w:w="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pPr>
            <w:r>
              <w:rPr/>
              <w:t xml:space="preserve">Note 2: </w:t>
            </w:r>
          </w:p>
        </w:tc>
        <w:tc>
          <w:tcPr>
            <w:tcW w:w="9464" w:type="dxa"/>
            <w:tcBorders/>
            <w:vAlign w:val="center"/>
          </w:tcPr>
          <w:p>
            <w:pPr>
              <w:pStyle w:val="TableContents"/>
              <w:bidi w:val="0"/>
              <w:spacing w:before="0" w:after="283"/>
              <w:jc w:val="both"/>
              <w:rPr/>
            </w:pPr>
            <w:r>
              <w:rPr/>
              <w:t>Restructuring and other costs primarily related to early retirement programs and severance costs, due to global cost-saving initiatives.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Axcelis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2026 Outlook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to Non-GAAP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5609" w:type="dxa"/>
        <w:jc w:val="left"/>
        <w:tblInd w:w="0" w:type="dxa"/>
        <w:tblLayout w:type="fixed"/>
        <w:tblCellMar>
          <w:top w:w="0" w:type="dxa"/>
          <w:left w:w="0" w:type="dxa"/>
          <w:bottom w:w="0" w:type="dxa"/>
          <w:right w:w="0" w:type="dxa"/>
        </w:tblCellMar>
      </w:tblPr>
      <w:tblGrid>
        <w:gridCol w:w="3680"/>
        <w:gridCol w:w="60"/>
        <w:gridCol w:w="391"/>
        <w:gridCol w:w="1383"/>
        <w:gridCol w:w="95"/>
      </w:tblGrid>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September 30, 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sz w:val="20"/>
              </w:rPr>
            </w:pPr>
            <w:r>
              <w:rPr>
                <w:sz w:val="20"/>
              </w:rPr>
              <w:t>GAAP diluted EPS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20"/>
              </w:rPr>
            </w:pPr>
            <w:r>
              <w:rPr>
                <w:sz w:val="20"/>
              </w:rPr>
              <w:t>$</w:t>
            </w:r>
          </w:p>
        </w:tc>
        <w:tc>
          <w:tcPr>
            <w:tcW w:w="1383" w:type="dxa"/>
            <w:tcBorders/>
            <w:shd w:fill="CCEEFF" w:val="clear"/>
            <w:vAlign w:val="center"/>
          </w:tcPr>
          <w:p>
            <w:pPr>
              <w:pStyle w:val="TableContents"/>
              <w:bidi w:val="0"/>
              <w:spacing w:before="0" w:after="283"/>
              <w:jc w:val="right"/>
              <w:rPr>
                <w:sz w:val="20"/>
              </w:rPr>
            </w:pPr>
            <w:r>
              <w:rPr>
                <w:sz w:val="20"/>
              </w:rPr>
              <w:t>0.76</w:t>
            </w:r>
          </w:p>
        </w:tc>
        <w:tc>
          <w:tcPr>
            <w:tcW w:w="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Transaction and Integration</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0.19</w:t>
            </w:r>
          </w:p>
        </w:tc>
        <w:tc>
          <w:tcPr>
            <w:tcW w:w="9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0.21</w:t>
            </w:r>
          </w:p>
        </w:tc>
        <w:tc>
          <w:tcPr>
            <w:tcW w:w="9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Income tax effect of non-GAAP adjustments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(0.06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80" w:type="dxa"/>
            <w:tcBorders/>
            <w:shd w:fill="CCEEFF" w:val="clear"/>
            <w:vAlign w:val="center"/>
          </w:tcPr>
          <w:p>
            <w:pPr>
              <w:pStyle w:val="TableContents"/>
              <w:bidi w:val="0"/>
              <w:spacing w:before="0" w:after="283"/>
              <w:jc w:val="left"/>
              <w:rPr>
                <w:sz w:val="20"/>
              </w:rPr>
            </w:pPr>
            <w:r>
              <w:rPr>
                <w:sz w:val="20"/>
              </w:rPr>
              <w:t>Non-GAAP diluted EPS</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81"/>
        <w:gridCol w:w="9486"/>
      </w:tblGrid>
      <w:tr>
        <w:trPr/>
        <w:tc>
          <w:tcPr>
            <w:tcW w:w="3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pPr>
            <w:r>
              <w:rPr/>
              <w:t xml:space="preserve">Note 1: </w:t>
            </w:r>
          </w:p>
        </w:tc>
        <w:tc>
          <w:tcPr>
            <w:tcW w:w="9486" w:type="dxa"/>
            <w:tcBorders/>
            <w:vAlign w:val="center"/>
          </w:tcPr>
          <w:p>
            <w:pPr>
              <w:pStyle w:val="TableContents"/>
              <w:bidi w:val="0"/>
              <w:spacing w:before="0" w:after="283"/>
              <w:jc w:val="both"/>
              <w:rPr/>
            </w:pPr>
            <w:r>
              <w:rPr/>
              <w:t>Transaction and Integration costs include expenses associated with the merger agreement with Veeco Instruments, announced on October 1, 2025.</w:t>
            </w:r>
          </w:p>
        </w:tc>
      </w:tr>
    </w:tbl>
    <w:tbl>
      <w:tblPr>
        <w:tblW w:w="8073" w:type="dxa"/>
        <w:jc w:val="left"/>
        <w:tblInd w:w="0" w:type="dxa"/>
        <w:tblLayout w:type="fixed"/>
        <w:tblCellMar>
          <w:top w:w="0" w:type="dxa"/>
          <w:left w:w="0" w:type="dxa"/>
          <w:bottom w:w="0" w:type="dxa"/>
          <w:right w:w="0" w:type="dxa"/>
        </w:tblCellMar>
      </w:tblPr>
      <w:tblGrid>
        <w:gridCol w:w="38"/>
        <w:gridCol w:w="785"/>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xml:space="preserve">Note 2: </w:t>
            </w:r>
          </w:p>
        </w:tc>
        <w:tc>
          <w:tcPr>
            <w:tcW w:w="7250" w:type="dxa"/>
            <w:tcBorders/>
            <w:vAlign w:val="center"/>
          </w:tcPr>
          <w:p>
            <w:pPr>
              <w:pStyle w:val="TableContents"/>
              <w:bidi w:val="0"/>
              <w:spacing w:before="0" w:after="283"/>
              <w:jc w:val="both"/>
              <w:rPr/>
            </w:pPr>
            <w:r>
              <w:rPr/>
              <w:t>Impact of taxes from non-GAAP adjustments, uses adjusted tax rate of 14%.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Figures may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2860</Words>
  <Characters>15999</Characters>
  <CharactersWithSpaces>19633</CharactersWithSpaces>
  <Paragraphs>2608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