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50903.xml.htm"/>
      <w:bookmarkStart w:id="1" w:name="ksform409162026_0509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Redinbo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AXCELIS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 CHERRY HILL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AXCELIS TECHNOLOGIES INC</w:t>
              </w:r>
            </w:hyperlink>
            <w:r>
              <w:rPr/>
              <w:t xml:space="preserve"> [ </w:t>
            </w:r>
            <w:r>
              <w:rPr>
                <w:rFonts w:ascii="Times;serif" w:hAnsi="Times;serif"/>
                <w:color w:val="0000FF"/>
                <w:sz w:val="24"/>
                <w:shd w:fill="FFFFFF" w:val="clear"/>
              </w:rPr>
              <w:t>ACLS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94"/>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w:t>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105.04</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34,816</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forfeiture of shares for tax withholding purposes relates to the vesting on September 15, 2026 of service vesting restricted stock units granted to the executive in September 2022. The shares issued to the executive on the vesting were reduced by a number of shares having a value equal to the executive's tax withholding obligation with respect to the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closing price of the common stock on the date of the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Of the shares held after this vesting event on September 15, 2026, 19,782 were issuable on vesting of restricted stock units granted to the reporting person under the 2012 Equity Incentive Plan and are subject to forfeiture.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Eileen J. Evans,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017" TargetMode="External"/><Relationship Id="rId5" Type="http://schemas.openxmlformats.org/officeDocument/2006/relationships/hyperlink" Target="http://www.sec.gov/cgi-bin/browse-edgar?action=getcompany&amp;CIK=00011132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3701</Characters>
  <CharactersWithSpaces>4318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