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62026_050901.xml.htm"/>
      <w:bookmarkStart w:id="1" w:name="ksform409162026_0509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Tatnall Christopher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AXCELIS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108 CHERRY HILL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BEVERLY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01915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AXCELIS TECHNOLOGIES INC</w:t>
              </w:r>
            </w:hyperlink>
            <w:r>
              <w:rPr/>
              <w:t xml:space="preserve"> [ </w:t>
            </w:r>
            <w:r>
              <w:rPr>
                <w:rFonts w:ascii="Times;serif" w:hAnsi="Times;serif"/>
                <w:color w:val="0000FF"/>
                <w:sz w:val="24"/>
                <w:shd w:fill="FFFFFF" w:val="clear"/>
              </w:rPr>
              <w:t>ACLS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Global Customer Operations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798"/>
        <w:gridCol w:w="494"/>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w:t>
            </w:r>
          </w:p>
        </w:tc>
        <w:tc>
          <w:tcPr>
            <w:tcW w:w="4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105.04</w:t>
            </w:r>
            <w:r>
              <w:rPr>
                <w:rFonts w:ascii="Times;serif" w:hAnsi="Times;serif"/>
                <w:color w:val="008000"/>
                <w:position w:val="7"/>
                <w:sz w:val="16"/>
                <w:sz w:val="20"/>
                <w:shd w:fill="FFFFFF" w:val="clear"/>
              </w:rPr>
              <w:t>(2)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27,491</w:t>
            </w:r>
            <w:r>
              <w:rPr>
                <w:rFonts w:ascii="Times;serif" w:hAnsi="Times;serif"/>
                <w:color w:val="008000"/>
                <w:position w:val="7"/>
                <w:sz w:val="16"/>
                <w:sz w:val="20"/>
                <w:shd w:fill="FFFFFF" w:val="clear"/>
              </w:rPr>
              <w:t>(3)</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forfeiture of shares for tax withholding purposes relates to the vesting on September 15, 2026 of service vesting restricted stock units granted to the executive in September 2023. The shares issued to the executive on the vesting were reduced by a number of shares having a value equal to the executive's tax withholding obligation with respect to the vested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closing price of the common stock on the date of the tax withholding.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Of the shares held after this vesting event on September 15, 2026, 20,590 were issuable on vesting of restricted stock units granted to the reporting person under the 2012 Equity Incentive Plan and are subject to forfeiture.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Eileen J. Evans,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0732" TargetMode="External"/><Relationship Id="rId5" Type="http://schemas.openxmlformats.org/officeDocument/2006/relationships/hyperlink" Target="http://www.sec.gov/cgi-bin/browse-edgar?action=getcompany&amp;CIK=000111323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686</Words>
  <Characters>3709</Characters>
  <CharactersWithSpaces>4325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