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Blumenstock Gerald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AXCELIS TECHNOLOGIES,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660"/>
              <w:spacing w:after="0" w:line="185" w:lineRule="exact"/>
              <w:rPr>
                <w:sz w:val="20"/>
                <w:szCs w:val="20"/>
                <w:color w:val="auto"/>
              </w:rPr>
            </w:pPr>
            <w:r>
              <w:rPr>
                <w:rFonts w:ascii="Times New Roman" w:cs="Times New Roman" w:eastAsia="Times New Roman" w:hAnsi="Times New Roman"/>
                <w:sz w:val="17"/>
                <w:szCs w:val="17"/>
                <w:color w:val="0000FF"/>
              </w:rPr>
              <w:t>EVP, Research, Dev. &amp; Eng.</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1,015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162.315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17,293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sale on May 14, 2026, 17,293 shares were issuable on vesting of restricted stock units granted to the reporting person under the 2012 Equity Incentive Plan and are subject to forfeiture. This amount includes restricted stock units earned by the reporting person upon the achievement of 112.5% of the restricted stock units granted in 2025 based upon the achievement of 2025 performance goals.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9418"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2026-05-15T16:10:57Z</dcterms:created>
  <dcterms:modified xsi:type="dcterms:W3CDTF">2026-05-15T16:10:57Z</dcterms:modified>
</cp:coreProperties>
</file>