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Blumenstock Gerald M</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2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AXCELIS TECHNOLOGIES, INC.</w:t>
            </w:r>
          </w:p>
        </w:tc>
      </w:tr>
      <w:tr>
        <w:trPr>
          <w:trHeight w:val="267"/>
        </w:trPr>
        <w:tc>
          <w:tcPr>
            <w:tcW w:w="40" w:type="dxa"/>
            <w:vAlign w:val="bottom"/>
          </w:tcPr>
          <w:p>
            <w:pPr>
              <w:spacing w:after="0"/>
              <w:rPr>
                <w:sz w:val="23"/>
                <w:szCs w:val="23"/>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108 CHERRY HILL DRIVE</w:t>
            </w: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BEVERLY</w:t>
            </w:r>
          </w:p>
        </w:tc>
        <w:tc>
          <w:tcPr>
            <w:tcW w:w="12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MA</w:t>
            </w:r>
          </w:p>
        </w:tc>
        <w:tc>
          <w:tcPr>
            <w:tcW w:w="14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01915</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AXCELIS TECHNOLOGIES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ACLS</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6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tcPr>
          <w:p>
            <w:pPr>
              <w:ind w:left="660"/>
              <w:spacing w:after="0" w:line="185" w:lineRule="exact"/>
              <w:rPr>
                <w:sz w:val="20"/>
                <w:szCs w:val="20"/>
                <w:color w:val="auto"/>
              </w:rPr>
            </w:pPr>
            <w:r>
              <w:rPr>
                <w:rFonts w:ascii="Times New Roman" w:cs="Times New Roman" w:eastAsia="Times New Roman" w:hAnsi="Times New Roman"/>
                <w:sz w:val="17"/>
                <w:szCs w:val="17"/>
                <w:color w:val="0000FF"/>
              </w:rPr>
              <w:t>EVP, Research, Dev. &amp; Eng.</w:t>
            </w:r>
          </w:p>
        </w:tc>
        <w:tc>
          <w:tcPr>
            <w:tcW w:w="0" w:type="dxa"/>
            <w:vAlign w:val="bottom"/>
          </w:tcPr>
          <w:p>
            <w:pPr>
              <w:spacing w:after="0"/>
              <w:rPr>
                <w:sz w:val="1"/>
                <w:szCs w:val="1"/>
                <w:color w:val="auto"/>
              </w:rPr>
            </w:pPr>
          </w:p>
        </w:tc>
      </w:tr>
      <w:tr>
        <w:trPr>
          <w:trHeight w:val="226"/>
        </w:trPr>
        <w:tc>
          <w:tcPr>
            <w:tcW w:w="3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05/21/2026</w:t>
            </w:r>
          </w:p>
        </w:tc>
        <w:tc>
          <w:tcPr>
            <w:tcW w:w="7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1,161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152.7</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20,493</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Of the shares held after this sale on May 21, 2026, 20,493 shares were issuable on vesting of restricted stock units granted to the reporting person under the 2012 Equity Incentive Plan and are subject to forfeiture.</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Eileen J. Evans,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9418" TargetMode="External"/><Relationship Id="rId14" Type="http://schemas.openxmlformats.org/officeDocument/2006/relationships/hyperlink" Target="http://www.sec.gov/cgi-bin/browse-edgar?action=getcompany&amp;CIK=00011132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2026-05-22T16:37:29Z</dcterms:created>
  <dcterms:modified xsi:type="dcterms:W3CDTF">2026-05-22T16:37:29Z</dcterms:modified>
</cp:coreProperties>
</file>