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AXCELIS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REINHART PARTNERS,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852,169.00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928,660.00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928,660.00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7"/>
        <w:gridCol w:w="9083"/>
        <w:gridCol w:w="155"/>
      </w:tblGrid>
      <w:tr>
        <w:trPr/>
        <w:tc>
          <w:tcPr>
            <w:tcW w:w="967"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AXCELIS TECHNOLOGIES INC</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 CHERRY HILL DRIVE, 108 CHERRY HILL DRIVE, BEVERLY, MASSACHUSETTS, 01915.</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Sandi King</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11090 N. Weston Drive Mequon WI 53092</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3.</w:t>
            </w:r>
          </w:p>
        </w:tc>
        <w:tc>
          <w:tcPr>
            <w:tcW w:w="90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(f)</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(g)</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(h)</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(j)</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(k)</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238" w:type="dxa"/>
            <w:gridSpan w:val="2"/>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928,660</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3.02  %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852,169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928,660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8.</w:t>
            </w:r>
          </w:p>
        </w:tc>
        <w:tc>
          <w:tcPr>
            <w:tcW w:w="90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9.</w:t>
            </w:r>
          </w:p>
        </w:tc>
        <w:tc>
          <w:tcPr>
            <w:tcW w:w="90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REINHART PARTNERS, LLC.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Sandi King</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CCO</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3731</Characters>
  <CharactersWithSpaces>4454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