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72026_050701.xml.htm"/>
      <w:bookmarkStart w:id="1" w:name="ksform407172026_0507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Ryzhik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 CHERRY HILL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BEVERLY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01915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AXCELIS TECHNOLOGIES INC</w:t>
              </w:r>
            </w:hyperlink>
            <w:r>
              <w:rPr/>
              <w:t xml:space="preserve"> [ </w:t>
            </w:r>
            <w:r>
              <w:rPr>
                <w:rFonts w:ascii="Times;serif" w:hAnsi="Times;serif"/>
                <w:color w:val="0000FF"/>
                <w:sz w:val="24"/>
                <w:shd w:fill="FFFFFF" w:val="clear"/>
              </w:rPr>
              <w:t>ACLS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SVP Interim CFO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798"/>
        <w:gridCol w:w="494"/>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w:t>
            </w:r>
          </w:p>
        </w:tc>
        <w:tc>
          <w:tcPr>
            <w:tcW w:w="4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145.01</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9,884</w:t>
            </w:r>
            <w:r>
              <w:rPr>
                <w:rFonts w:ascii="Times;serif" w:hAnsi="Times;serif"/>
                <w:color w:val="008000"/>
                <w:position w:val="7"/>
                <w:sz w:val="16"/>
                <w:sz w:val="20"/>
                <w:shd w:fill="FFFFFF" w:val="clear"/>
              </w:rPr>
              <w:t>(3)</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w:t>
            </w:r>
          </w:p>
        </w:tc>
        <w:tc>
          <w:tcPr>
            <w:tcW w:w="4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145.01</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9,790</w:t>
            </w:r>
            <w:r>
              <w:rPr>
                <w:rFonts w:ascii="Times;serif" w:hAnsi="Times;serif"/>
                <w:color w:val="008000"/>
                <w:position w:val="7"/>
                <w:sz w:val="16"/>
                <w:sz w:val="20"/>
                <w:shd w:fill="FFFFFF" w:val="clear"/>
              </w:rPr>
              <w:t>(4)</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forfeiture of shares for tax withholding purposes relates to the vesting on July 15, 2026 of service vesting restricted stock units granted to the executive in July 2024. The shares issued to the executive on the vesting were reduced by a number of shares having a value equal to the executive's tax withholding obligation with respect to the vested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closing price of the common stock on the date of the tax withholding.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amount includes 56 shares of common stock acquired by the reporting person on June 30, 2026 pursuant to the company's 2020 Employee Stock Purchase Plan, rounded to the nearest whole share. Of the shares held after this vesting event on July 15, 2026, 8,007 were issuable on vesting of restricted stock units granted to the reporting person under the 2012 Equity Incentive Plan and are subject to forfeiture.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Of the shares held after this vesting event on July 15, 2026, 7,688 were issuable on vesting of restricted stock units granted to the reporting person under the 2012 Equity Incentive Plan and are subject to forfeiture.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Eileen J. Evans,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3863" TargetMode="External"/><Relationship Id="rId5" Type="http://schemas.openxmlformats.org/officeDocument/2006/relationships/hyperlink" Target="http://www.sec.gov/cgi-bin/browse-edgar?action=getcompany&amp;CIK=00011132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757</Words>
  <Characters>4017</Characters>
  <CharactersWithSpaces>4709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