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Ryzhik David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108 CHERRY HILL DRIVE</w:t>
            </w:r>
          </w:p>
        </w:tc>
        <w:tc>
          <w:tcPr>
            <w:tcW w:w="14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AXCELIS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ACLS</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7"/>
                <w:szCs w:val="17"/>
                <w:color w:val="0000FF"/>
              </w:rPr>
              <w:t>SVP Interim CFO</w:t>
            </w:r>
          </w:p>
        </w:tc>
        <w:tc>
          <w:tcPr>
            <w:tcW w:w="0" w:type="dxa"/>
            <w:vAlign w:val="bottom"/>
          </w:tcPr>
          <w:p>
            <w:pPr>
              <w:spacing w:after="0"/>
              <w:rPr>
                <w:sz w:val="1"/>
                <w:szCs w:val="1"/>
                <w:color w:val="auto"/>
              </w:rPr>
            </w:pPr>
          </w:p>
        </w:tc>
      </w:tr>
      <w:tr>
        <w:trPr>
          <w:trHeight w:val="120"/>
        </w:trPr>
        <w:tc>
          <w:tcPr>
            <w:tcW w:w="3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0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06/16/2026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F</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76</w:t>
            </w: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176.845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9,955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60" w:type="dxa"/>
            <w:vAlign w:val="bottom"/>
          </w:tcPr>
          <w:p>
            <w:pPr>
              <w:spacing w:after="0"/>
              <w:rPr>
                <w:sz w:val="15"/>
                <w:szCs w:val="15"/>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forfeiture of shares for tax withholding purposes relates to the vesting on June 16, 2026 of service vesting restricted stock units granted to the executive in June 2025. The shares issued to the executive on the vesting were reduced by a number of shares having a value equal to the executive's tax withholding obligation with respect to the vested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common stock on the date of the tax withholding.</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shares held after this vesting event on June 16, 2026, 8,439 were issuable on vesting of restricted stock units granted to the reporting person under the 2012 Equity Incentive Plan and are subject to forfeiture.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Eileen J. Evans,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3863" TargetMode="External"/><Relationship Id="rId14" Type="http://schemas.openxmlformats.org/officeDocument/2006/relationships/hyperlink" Target="http://www.sec.gov/cgi-bin/browse-edgar?action=getcompany&amp;CIK=0001113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2026-06-17T16:10:44Z</dcterms:created>
  <dcterms:modified xsi:type="dcterms:W3CDTF">2026-06-17T16:10:44Z</dcterms:modified>
</cp:coreProperties>
</file>